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F2" w:rsidRDefault="001C7939" w:rsidP="00B561C0">
      <w:r w:rsidRPr="00546CBB">
        <w:rPr>
          <w:rFonts w:cs="Arial"/>
          <w:b/>
          <w:smallCaps/>
          <w:noProof/>
          <w:color w:val="000000"/>
          <w:sz w:val="40"/>
          <w:szCs w:val="40"/>
          <w:lang w:eastAsia="en-GB"/>
        </w:rPr>
        <mc:AlternateContent>
          <mc:Choice Requires="wps">
            <w:drawing>
              <wp:anchor distT="0" distB="0" distL="114300" distR="114300" simplePos="0" relativeHeight="251666432" behindDoc="1" locked="0" layoutInCell="1" allowOverlap="1" wp14:anchorId="3EC10901" wp14:editId="0E83497A">
                <wp:simplePos x="0" y="0"/>
                <wp:positionH relativeFrom="column">
                  <wp:posOffset>2981325</wp:posOffset>
                </wp:positionH>
                <wp:positionV relativeFrom="paragraph">
                  <wp:posOffset>-619125</wp:posOffset>
                </wp:positionV>
                <wp:extent cx="6231255" cy="1412875"/>
                <wp:effectExtent l="0" t="0" r="17145" b="15875"/>
                <wp:wrapNone/>
                <wp:docPr id="28" name="Rectangle 28"/>
                <wp:cNvGraphicFramePr/>
                <a:graphic xmlns:a="http://schemas.openxmlformats.org/drawingml/2006/main">
                  <a:graphicData uri="http://schemas.microsoft.com/office/word/2010/wordprocessingShape">
                    <wps:wsp>
                      <wps:cNvSpPr/>
                      <wps:spPr>
                        <a:xfrm>
                          <a:off x="0" y="0"/>
                          <a:ext cx="6231255" cy="1412875"/>
                        </a:xfrm>
                        <a:prstGeom prst="rect">
                          <a:avLst/>
                        </a:prstGeom>
                        <a:solidFill>
                          <a:srgbClr val="1F497D">
                            <a:lumMod val="40000"/>
                            <a:lumOff val="60000"/>
                          </a:srgbClr>
                        </a:solidFill>
                        <a:ln w="25400" cap="flat" cmpd="sng" algn="ctr">
                          <a:solidFill>
                            <a:srgbClr val="1F497D">
                              <a:lumMod val="40000"/>
                              <a:lumOff val="60000"/>
                            </a:srgbClr>
                          </a:solidFill>
                          <a:prstDash val="solid"/>
                        </a:ln>
                        <a:effectLst/>
                      </wps:spPr>
                      <wps:txbx>
                        <w:txbxContent>
                          <w:p w:rsidR="00546CBB" w:rsidRPr="00A57620" w:rsidRDefault="00546CBB" w:rsidP="00546CBB">
                            <w:pPr>
                              <w:tabs>
                                <w:tab w:val="left" w:pos="567"/>
                              </w:tabs>
                              <w:ind w:left="567" w:hanging="567"/>
                              <w:rPr>
                                <w:rFonts w:cs="Arial"/>
                                <w:b/>
                                <w:smallCaps/>
                                <w:sz w:val="56"/>
                                <w:szCs w:val="40"/>
                              </w:rPr>
                            </w:pPr>
                            <w:r w:rsidRPr="00A57620">
                              <w:rPr>
                                <w:rFonts w:cs="Arial"/>
                                <w:b/>
                                <w:smallCaps/>
                                <w:sz w:val="56"/>
                                <w:szCs w:val="40"/>
                              </w:rPr>
                              <w:t>Gairloch High School</w:t>
                            </w:r>
                          </w:p>
                          <w:p w:rsidR="00546CBB" w:rsidRPr="00A57620" w:rsidRDefault="00546CBB" w:rsidP="00546CBB">
                            <w:pPr>
                              <w:rPr>
                                <w:sz w:val="20"/>
                              </w:rPr>
                            </w:pPr>
                            <w:proofErr w:type="spellStart"/>
                            <w:r w:rsidRPr="00A57620">
                              <w:rPr>
                                <w:rFonts w:cs="Arial"/>
                                <w:b/>
                                <w:smallCaps/>
                                <w:sz w:val="56"/>
                                <w:szCs w:val="40"/>
                              </w:rPr>
                              <w:t>Àrd-sgoil</w:t>
                            </w:r>
                            <w:proofErr w:type="spellEnd"/>
                            <w:r w:rsidRPr="00A57620">
                              <w:rPr>
                                <w:rFonts w:cs="Arial"/>
                                <w:b/>
                                <w:smallCaps/>
                                <w:sz w:val="56"/>
                                <w:szCs w:val="40"/>
                              </w:rPr>
                              <w:t xml:space="preserve"> </w:t>
                            </w:r>
                            <w:proofErr w:type="spellStart"/>
                            <w:r w:rsidRPr="00A57620">
                              <w:rPr>
                                <w:rFonts w:cs="Arial"/>
                                <w:b/>
                                <w:smallCaps/>
                                <w:sz w:val="56"/>
                                <w:szCs w:val="40"/>
                              </w:rPr>
                              <w:t>Ghearrloch</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C10901" id="Rectangle 28" o:spid="_x0000_s1026" style="position:absolute;margin-left:234.75pt;margin-top:-48.75pt;width:490.65pt;height:111.2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" fillcolor="#8eb4e3" strokecolor="#8eb4e3" strokeweight="2pt">
                <v:textbox>
                  <w:txbxContent>
                    <w:p w:rsidR="00546CBB" w:rsidRPr="00A57620" w:rsidRDefault="00546CBB" w:rsidP="00546CBB">
                      <w:pPr>
                        <w:tabs>
                          <w:tab w:val="left" w:pos="567"/>
                        </w:tabs>
                        <w:ind w:left="567" w:hanging="567"/>
                        <w:rPr>
                          <w:rFonts w:cs="Arial"/>
                          <w:b/>
                          <w:smallCaps/>
                          <w:sz w:val="56"/>
                          <w:szCs w:val="40"/>
                        </w:rPr>
                      </w:pPr>
                      <w:r w:rsidRPr="00A57620">
                        <w:rPr>
                          <w:rFonts w:cs="Arial"/>
                          <w:b/>
                          <w:smallCaps/>
                          <w:sz w:val="56"/>
                          <w:szCs w:val="40"/>
                        </w:rPr>
                        <w:t>Gairloch High School</w:t>
                      </w:r>
                    </w:p>
                    <w:p w:rsidR="00546CBB" w:rsidRPr="00A57620" w:rsidRDefault="00546CBB" w:rsidP="00546CBB">
                      <w:pPr>
                        <w:rPr>
                          <w:sz w:val="20"/>
                        </w:rPr>
                      </w:pPr>
                      <w:proofErr w:type="spellStart"/>
                      <w:r w:rsidRPr="00A57620">
                        <w:rPr>
                          <w:rFonts w:cs="Arial"/>
                          <w:b/>
                          <w:smallCaps/>
                          <w:sz w:val="56"/>
                          <w:szCs w:val="40"/>
                        </w:rPr>
                        <w:t>Àrd-sgoil</w:t>
                      </w:r>
                      <w:proofErr w:type="spellEnd"/>
                      <w:r w:rsidRPr="00A57620">
                        <w:rPr>
                          <w:rFonts w:cs="Arial"/>
                          <w:b/>
                          <w:smallCaps/>
                          <w:sz w:val="56"/>
                          <w:szCs w:val="40"/>
                        </w:rPr>
                        <w:t xml:space="preserve"> </w:t>
                      </w:r>
                      <w:proofErr w:type="spellStart"/>
                      <w:r w:rsidRPr="00A57620">
                        <w:rPr>
                          <w:rFonts w:cs="Arial"/>
                          <w:b/>
                          <w:smallCaps/>
                          <w:sz w:val="56"/>
                          <w:szCs w:val="40"/>
                        </w:rPr>
                        <w:t>Ghearrloch</w:t>
                      </w:r>
                      <w:proofErr w:type="spellEnd"/>
                    </w:p>
                  </w:txbxContent>
                </v:textbox>
              </v:rect>
            </w:pict>
          </mc:Fallback>
        </mc:AlternateContent>
      </w:r>
      <w:r w:rsidR="00546CBB">
        <w:rPr>
          <w:noProof/>
          <w:lang w:eastAsia="en-GB"/>
        </w:rPr>
        <w:drawing>
          <wp:anchor distT="0" distB="0" distL="114300" distR="114300" simplePos="0" relativeHeight="251662336" behindDoc="0" locked="0" layoutInCell="1" allowOverlap="1" wp14:anchorId="6BD64C93" wp14:editId="1744A029">
            <wp:simplePos x="0" y="0"/>
            <wp:positionH relativeFrom="column">
              <wp:posOffset>8284957</wp:posOffset>
            </wp:positionH>
            <wp:positionV relativeFrom="paragraph">
              <wp:posOffset>-791210</wp:posOffset>
            </wp:positionV>
            <wp:extent cx="1382395" cy="17189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irlochHighSchoolLogo.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82395" cy="1718945"/>
                    </a:xfrm>
                    <a:prstGeom prst="rect">
                      <a:avLst/>
                    </a:prstGeom>
                  </pic:spPr>
                </pic:pic>
              </a:graphicData>
            </a:graphic>
            <wp14:sizeRelH relativeFrom="page">
              <wp14:pctWidth>0</wp14:pctWidth>
            </wp14:sizeRelH>
            <wp14:sizeRelV relativeFrom="page">
              <wp14:pctHeight>0</wp14:pctHeight>
            </wp14:sizeRelV>
          </wp:anchor>
        </w:drawing>
      </w:r>
      <w:r w:rsidR="00546CBB">
        <w:rPr>
          <w:noProof/>
          <w:lang w:eastAsia="en-GB"/>
        </w:rPr>
        <mc:AlternateContent>
          <mc:Choice Requires="wps">
            <w:drawing>
              <wp:anchor distT="0" distB="0" distL="114300" distR="114300" simplePos="0" relativeHeight="251651072" behindDoc="0" locked="0" layoutInCell="1" allowOverlap="1" wp14:anchorId="5DA68630" wp14:editId="5876DA78">
                <wp:simplePos x="0" y="0"/>
                <wp:positionH relativeFrom="column">
                  <wp:posOffset>-436880</wp:posOffset>
                </wp:positionH>
                <wp:positionV relativeFrom="paragraph">
                  <wp:posOffset>-647700</wp:posOffset>
                </wp:positionV>
                <wp:extent cx="3114675" cy="5925185"/>
                <wp:effectExtent l="57150" t="38100" r="66675" b="75565"/>
                <wp:wrapNone/>
                <wp:docPr id="1" name="Rectangle 1"/>
                <wp:cNvGraphicFramePr/>
                <a:graphic xmlns:a="http://schemas.openxmlformats.org/drawingml/2006/main">
                  <a:graphicData uri="http://schemas.microsoft.com/office/word/2010/wordprocessingShape">
                    <wps:wsp>
                      <wps:cNvSpPr/>
                      <wps:spPr>
                        <a:xfrm>
                          <a:off x="0" y="0"/>
                          <a:ext cx="3114675" cy="5925185"/>
                        </a:xfrm>
                        <a:prstGeom prst="rect">
                          <a:avLst/>
                        </a:prstGeom>
                      </wps:spPr>
                      <wps:style>
                        <a:lnRef idx="0">
                          <a:schemeClr val="accent3"/>
                        </a:lnRef>
                        <a:fillRef idx="3">
                          <a:schemeClr val="accent3"/>
                        </a:fillRef>
                        <a:effectRef idx="3">
                          <a:schemeClr val="accent3"/>
                        </a:effectRef>
                        <a:fontRef idx="minor">
                          <a:schemeClr val="lt1"/>
                        </a:fontRef>
                      </wps:style>
                      <wps:txbx>
                        <w:txbxContent>
                          <w:p w:rsidR="00546CBB" w:rsidRDefault="00546CBB" w:rsidP="00546CBB">
                            <w:pPr>
                              <w:pStyle w:val="NormalWeb"/>
                              <w:spacing w:before="0" w:beforeAutospacing="0" w:after="0" w:afterAutospacing="0"/>
                              <w:jc w:val="both"/>
                            </w:pPr>
                            <w:r>
                              <w:rPr>
                                <w:rFonts w:ascii="Arial" w:hAnsi="Arial" w:cs="Arial"/>
                                <w:color w:val="000000"/>
                              </w:rPr>
                              <w:t>Over the last few years in the West Coast of Scotland is the increased feeling of rural isolation, leading to poor mental health in a small but significant percentage of our senior pupils.  The increasingly worrying trend is that young people in S1 are more often arriving with anxieties, behavioural issues and mental health issues. My aim is to enhance the nurturing approaches and improve wellbeing by developing a community resilience transition project.  By improving the experience of transition for our pupils, through focusing on wellbeing and resilience, I believe that this will equip our students with lifelong skills which will enhance their engagement in school life and provide a support in adult life, especially for those who have been identified with adverse childhood experiences.  This should foster more positive relationships, and provide opportunities to allow improvement in attainment and development of key skills for the most vulnerable of our young people. In addition to our traditional three day transition, I wish to build in an extended period of transition, beginning in March 2019, not only providing a greater support to our new pupils, but by enabling a “Young Leader” experience for our S2 pupils to help them to gain further skills development, and focus on their own resilience.  </w:t>
                            </w:r>
                          </w:p>
                          <w:p w:rsidR="00684CE0" w:rsidRDefault="00684CE0" w:rsidP="00684C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A68630" id="Rectangle 1" o:spid="_x0000_s1027" style="position:absolute;margin-left:-34.4pt;margin-top:-51pt;width:245.25pt;height:466.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" fillcolor="#aaa [3030]" stroked="f">
                <v:fill color2="#a3a3a3 [3174]" rotate="t" colors="0 #afafaf;.5 #a5a5a5;1 #929292" focus="100%" type="gradient">
                  <o:fill v:ext="view" type="gradientUnscaled"/>
                </v:fill>
                <v:shadow on="t" color="black" opacity="41287f" offset="0,1.5pt"/>
                <v:textbox>
                  <w:txbxContent>
                    <w:p w:rsidR="00546CBB" w:rsidRDefault="00546CBB" w:rsidP="00546CBB">
                      <w:pPr>
                        <w:pStyle w:val="NormalWeb"/>
                        <w:spacing w:before="0" w:beforeAutospacing="0" w:after="0" w:afterAutospacing="0"/>
                        <w:jc w:val="both"/>
                      </w:pPr>
                      <w:r>
                        <w:rPr>
                          <w:rFonts w:ascii="Arial" w:hAnsi="Arial" w:cs="Arial"/>
                          <w:color w:val="000000"/>
                        </w:rPr>
                        <w:t>Over the last few years in the West Coast of Scotland is the increased feeling of rural isolation, leading to poor mental health in a small but significant percentage of our senior pupils.  The increasingly worrying trend is that young people in S1 are more often arriving with anxieties, behavioural issues and mental health issues. My aim is to enhance the nurturing approaches and improve wellbeing by developing a community resilience transition project.  By improving the experience of transition for our pupils, through focusing on wellbeing and resilience, I believe that this will equip our students with lifelong skills which will enhance their engagement in school life and provide a support in adult life, especially for those who have been identified with adverse childhood experiences.  This should foster more positive relationships, and provide opportunities to allow improvement in attainment and development of key skills for the most vulnerable of our young people. In addition to our traditional three day transition, I wish to build in an extended period of transition, beginning in March 2019, not only providing a greater support to our new pupils, but by enabling a “Young Leader” experience for our S2 pupils to help them to gain further skills development, and focus on their own resilience.  </w:t>
                      </w:r>
                    </w:p>
                    <w:p w:rsidR="00684CE0" w:rsidRDefault="00684CE0" w:rsidP="00684CE0"/>
                  </w:txbxContent>
                </v:textbox>
              </v:rect>
            </w:pict>
          </mc:Fallback>
        </mc:AlternateContent>
      </w:r>
      <w:r w:rsidR="0062752A">
        <w:rPr>
          <w:noProof/>
          <w:lang w:eastAsia="en-GB"/>
        </w:rPr>
        <mc:AlternateContent>
          <mc:Choice Requires="wps">
            <w:drawing>
              <wp:anchor distT="0" distB="0" distL="114300" distR="114300" simplePos="0" relativeHeight="251654144" behindDoc="0" locked="0" layoutInCell="1" allowOverlap="1" wp14:anchorId="62A8112C" wp14:editId="64A7AE2F">
                <wp:simplePos x="0" y="0"/>
                <wp:positionH relativeFrom="column">
                  <wp:posOffset>6419850</wp:posOffset>
                </wp:positionH>
                <wp:positionV relativeFrom="paragraph">
                  <wp:posOffset>4095749</wp:posOffset>
                </wp:positionV>
                <wp:extent cx="3019425" cy="19335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3019425" cy="1933575"/>
                        </a:xfrm>
                        <a:prstGeom prst="rect">
                          <a:avLst/>
                        </a:prstGeom>
                      </wps:spPr>
                      <wps:style>
                        <a:lnRef idx="1">
                          <a:schemeClr val="dk1"/>
                        </a:lnRef>
                        <a:fillRef idx="2">
                          <a:schemeClr val="dk1"/>
                        </a:fillRef>
                        <a:effectRef idx="1">
                          <a:schemeClr val="dk1"/>
                        </a:effectRef>
                        <a:fontRef idx="minor">
                          <a:schemeClr val="dk1"/>
                        </a:fontRef>
                      </wps:style>
                      <wps:txbx>
                        <w:txbxContent>
                          <w:p w:rsidR="0062752A" w:rsidRDefault="00546CBB" w:rsidP="0062752A">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Baseline assessment of Health &amp; Wellbeing Wheel, attendance and behaviour analysis of pupils.</w:t>
                            </w:r>
                          </w:p>
                          <w:p w:rsidR="00546CBB" w:rsidRPr="0062752A" w:rsidRDefault="00546CBB" w:rsidP="0062752A">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Follow on surveys and </w:t>
                            </w:r>
                            <w:proofErr w:type="spellStart"/>
                            <w: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Questionaires</w:t>
                            </w:r>
                            <w:proofErr w:type="spellEnd"/>
                            <w: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Attendance and behaviour analysis.</w:t>
                            </w:r>
                          </w:p>
                          <w:p w:rsidR="00684CE0" w:rsidRPr="00684CE0" w:rsidRDefault="00684CE0" w:rsidP="00684CE0">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8112C" id="Rectangle 4" o:spid="_x0000_s1028" style="position:absolute;margin-left:505.5pt;margin-top:322.5pt;width:237.75pt;height:152.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" fillcolor="#555 [2160]" strokecolor="black [3200]" strokeweight=".5pt">
                <v:fill color2="#313131 [2608]" rotate="t" colors="0 #9b9b9b;.5 #8e8e8e;1 #797979" focus="100%" type="gradient">
                  <o:fill v:ext="view" type="gradientUnscaled"/>
                </v:fill>
                <v:textbox>
                  <w:txbxContent>
                    <w:p w:rsidR="0062752A" w:rsidRDefault="00546CBB" w:rsidP="0062752A">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Baseline assessment of Health &amp; Wellbeing Wheel, attendance and behaviour analysis of pupils.</w:t>
                      </w:r>
                    </w:p>
                    <w:p w:rsidR="00546CBB" w:rsidRPr="0062752A" w:rsidRDefault="00546CBB" w:rsidP="0062752A">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Follow on surveys and </w:t>
                      </w:r>
                      <w:proofErr w:type="spellStart"/>
                      <w: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Questionaires</w:t>
                      </w:r>
                      <w:proofErr w:type="spellEnd"/>
                      <w: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Attendance and behaviour analysis.</w:t>
                      </w:r>
                    </w:p>
                    <w:p w:rsidR="00684CE0" w:rsidRPr="00684CE0" w:rsidRDefault="00684CE0" w:rsidP="00684CE0">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v:textbox>
              </v:rect>
            </w:pict>
          </mc:Fallback>
        </mc:AlternateContent>
      </w:r>
    </w:p>
    <w:p w:rsidR="00994EF2" w:rsidRPr="00994EF2" w:rsidRDefault="00994EF2" w:rsidP="00994EF2"/>
    <w:p w:rsidR="00994EF2" w:rsidRPr="00994EF2" w:rsidRDefault="00994EF2" w:rsidP="00994EF2"/>
    <w:p w:rsidR="00994EF2" w:rsidRPr="00994EF2" w:rsidRDefault="00994EF2" w:rsidP="00994EF2"/>
    <w:p w:rsidR="00994EF2" w:rsidRPr="00994EF2" w:rsidRDefault="00994EF2" w:rsidP="00994EF2"/>
    <w:p w:rsidR="00994EF2" w:rsidRPr="00994EF2" w:rsidRDefault="001C7939" w:rsidP="00994EF2">
      <w:r>
        <w:rPr>
          <w:noProof/>
          <w:lang w:eastAsia="en-GB"/>
        </w:rPr>
        <mc:AlternateContent>
          <mc:Choice Requires="wps">
            <w:drawing>
              <wp:anchor distT="0" distB="0" distL="114300" distR="114300" simplePos="0" relativeHeight="251658240" behindDoc="0" locked="0" layoutInCell="1" allowOverlap="1" wp14:anchorId="0FD21BD1" wp14:editId="0A81D322">
                <wp:simplePos x="0" y="0"/>
                <wp:positionH relativeFrom="margin">
                  <wp:posOffset>2809875</wp:posOffset>
                </wp:positionH>
                <wp:positionV relativeFrom="paragraph">
                  <wp:posOffset>47625</wp:posOffset>
                </wp:positionV>
                <wp:extent cx="3543300" cy="1044575"/>
                <wp:effectExtent l="0" t="0" r="19050" b="22225"/>
                <wp:wrapNone/>
                <wp:docPr id="6" name="Rectangle 6"/>
                <wp:cNvGraphicFramePr/>
                <a:graphic xmlns:a="http://schemas.openxmlformats.org/drawingml/2006/main">
                  <a:graphicData uri="http://schemas.microsoft.com/office/word/2010/wordprocessingShape">
                    <wps:wsp>
                      <wps:cNvSpPr/>
                      <wps:spPr>
                        <a:xfrm>
                          <a:off x="0" y="0"/>
                          <a:ext cx="3543300" cy="104457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546CBB" w:rsidRDefault="00546CBB" w:rsidP="00546CBB">
                            <w:pPr>
                              <w:shd w:val="clear" w:color="auto" w:fill="92D050"/>
                              <w:jc w:val="center"/>
                            </w:pPr>
                            <w:r>
                              <w:t>1.3 Leadership of change</w:t>
                            </w:r>
                          </w:p>
                          <w:p w:rsidR="00546CBB" w:rsidRDefault="00546CBB" w:rsidP="00546CBB">
                            <w:pPr>
                              <w:shd w:val="clear" w:color="auto" w:fill="92D050"/>
                              <w:jc w:val="center"/>
                            </w:pPr>
                            <w:r>
                              <w:t>2.6 TRANSITIONS</w:t>
                            </w:r>
                          </w:p>
                          <w:p w:rsidR="00546CBB" w:rsidRDefault="00546CBB" w:rsidP="00546CBB">
                            <w:pPr>
                              <w:shd w:val="clear" w:color="auto" w:fill="92D050"/>
                              <w:jc w:val="center"/>
                            </w:pPr>
                            <w:r>
                              <w:t>2.7 Partnerships</w:t>
                            </w:r>
                          </w:p>
                          <w:p w:rsidR="00546CBB" w:rsidRDefault="00546CBB" w:rsidP="00546CBB">
                            <w:pPr>
                              <w:shd w:val="clear" w:color="auto" w:fill="92D050"/>
                              <w:jc w:val="center"/>
                            </w:pPr>
                            <w:r>
                              <w:t>3.1 ENSURING WELLBEING, EQUALITY AND INCLUSION</w:t>
                            </w:r>
                          </w:p>
                          <w:p w:rsidR="00546CBB" w:rsidRDefault="00546CBB" w:rsidP="00546CBB">
                            <w:pPr>
                              <w:shd w:val="clear" w:color="auto" w:fill="92D05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21BD1" id="Rectangle 6" o:spid="_x0000_s1029" style="position:absolute;margin-left:221.25pt;margin-top:3.75pt;width:279pt;height:8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" fillcolor="#70ad47 [3209]" strokecolor="#375623 [1609]" strokeweight="1pt">
                <v:textbox>
                  <w:txbxContent>
                    <w:p w:rsidR="00546CBB" w:rsidRDefault="00546CBB" w:rsidP="00546CBB">
                      <w:pPr>
                        <w:shd w:val="clear" w:color="auto" w:fill="92D050"/>
                        <w:jc w:val="center"/>
                      </w:pPr>
                      <w:r>
                        <w:t>1.3 Leadership of change</w:t>
                      </w:r>
                    </w:p>
                    <w:p w:rsidR="00546CBB" w:rsidRDefault="00546CBB" w:rsidP="00546CBB">
                      <w:pPr>
                        <w:shd w:val="clear" w:color="auto" w:fill="92D050"/>
                        <w:jc w:val="center"/>
                      </w:pPr>
                      <w:r>
                        <w:t>2.6 TRANSITIONS</w:t>
                      </w:r>
                    </w:p>
                    <w:p w:rsidR="00546CBB" w:rsidRDefault="00546CBB" w:rsidP="00546CBB">
                      <w:pPr>
                        <w:shd w:val="clear" w:color="auto" w:fill="92D050"/>
                        <w:jc w:val="center"/>
                      </w:pPr>
                      <w:r>
                        <w:t>2.7 Partnerships</w:t>
                      </w:r>
                    </w:p>
                    <w:p w:rsidR="00546CBB" w:rsidRDefault="00546CBB" w:rsidP="00546CBB">
                      <w:pPr>
                        <w:shd w:val="clear" w:color="auto" w:fill="92D050"/>
                        <w:jc w:val="center"/>
                      </w:pPr>
                      <w:r>
                        <w:t>3.1 ENSURING WELLBEING, EQUALITY AND INCLUSION</w:t>
                      </w:r>
                    </w:p>
                    <w:p w:rsidR="00546CBB" w:rsidRDefault="00546CBB" w:rsidP="00546CBB">
                      <w:pPr>
                        <w:shd w:val="clear" w:color="auto" w:fill="92D050"/>
                        <w:jc w:val="center"/>
                      </w:pPr>
                    </w:p>
                  </w:txbxContent>
                </v:textbox>
                <w10:wrap anchorx="margin"/>
              </v:rect>
            </w:pict>
          </mc:Fallback>
        </mc:AlternateContent>
      </w:r>
      <w:r w:rsidR="00546CBB">
        <w:rPr>
          <w:noProof/>
          <w:lang w:eastAsia="en-GB"/>
        </w:rPr>
        <mc:AlternateContent>
          <mc:Choice Requires="wps">
            <w:drawing>
              <wp:anchor distT="0" distB="0" distL="114300" distR="114300" simplePos="0" relativeHeight="251675648" behindDoc="0" locked="0" layoutInCell="1" allowOverlap="1" wp14:anchorId="4936DC2F" wp14:editId="58A9C4EC">
                <wp:simplePos x="0" y="0"/>
                <wp:positionH relativeFrom="column">
                  <wp:posOffset>6400800</wp:posOffset>
                </wp:positionH>
                <wp:positionV relativeFrom="paragraph">
                  <wp:posOffset>51435</wp:posOffset>
                </wp:positionV>
                <wp:extent cx="3000375" cy="2985770"/>
                <wp:effectExtent l="0" t="0" r="28575" b="24130"/>
                <wp:wrapNone/>
                <wp:docPr id="9" name="Rectangle 9"/>
                <wp:cNvGraphicFramePr/>
                <a:graphic xmlns:a="http://schemas.openxmlformats.org/drawingml/2006/main">
                  <a:graphicData uri="http://schemas.microsoft.com/office/word/2010/wordprocessingShape">
                    <wps:wsp>
                      <wps:cNvSpPr/>
                      <wps:spPr>
                        <a:xfrm>
                          <a:off x="0" y="0"/>
                          <a:ext cx="3000375" cy="298577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684CE0" w:rsidRDefault="0062752A" w:rsidP="00684CE0">
                            <w:r>
                              <w:t>The Unfolding Story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6DC2F" id="Rectangle 9" o:spid="_x0000_s1030" style="position:absolute;margin-left:7in;margin-top:4.05pt;width:236.25pt;height:235.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" fillcolor="#70ad47 [3209]" strokecolor="#375623 [1609]" strokeweight="1pt">
                <v:textbox>
                  <w:txbxContent>
                    <w:p w:rsidR="00684CE0" w:rsidRDefault="0062752A" w:rsidP="00684CE0">
                      <w:r>
                        <w:t>The Unfolding Story</w:t>
                      </w:r>
                    </w:p>
                  </w:txbxContent>
                </v:textbox>
              </v:rect>
            </w:pict>
          </mc:Fallback>
        </mc:AlternateContent>
      </w:r>
    </w:p>
    <w:p w:rsidR="00994EF2" w:rsidRPr="00994EF2" w:rsidRDefault="00994EF2" w:rsidP="00994EF2"/>
    <w:p w:rsidR="00994EF2" w:rsidRPr="00994EF2" w:rsidRDefault="00994EF2" w:rsidP="00994EF2"/>
    <w:p w:rsidR="00994EF2" w:rsidRPr="00994EF2" w:rsidRDefault="00994EF2" w:rsidP="00994EF2"/>
    <w:p w:rsidR="00994EF2" w:rsidRPr="00994EF2" w:rsidRDefault="00994EF2" w:rsidP="00994EF2"/>
    <w:p w:rsidR="00994EF2" w:rsidRPr="00994EF2" w:rsidRDefault="00994EF2" w:rsidP="00994EF2"/>
    <w:p w:rsidR="00994EF2" w:rsidRPr="00994EF2" w:rsidRDefault="00546CBB" w:rsidP="00994EF2">
      <w:r>
        <w:rPr>
          <w:noProof/>
          <w:lang w:eastAsia="en-GB"/>
        </w:rPr>
        <mc:AlternateContent>
          <mc:Choice Requires="wps">
            <w:drawing>
              <wp:anchor distT="0" distB="0" distL="114300" distR="114300" simplePos="0" relativeHeight="251663360" behindDoc="0" locked="0" layoutInCell="1" allowOverlap="1" wp14:anchorId="5D0F5A71" wp14:editId="310D9BA2">
                <wp:simplePos x="0" y="0"/>
                <wp:positionH relativeFrom="margin">
                  <wp:posOffset>2898962</wp:posOffset>
                </wp:positionH>
                <wp:positionV relativeFrom="paragraph">
                  <wp:posOffset>92523</wp:posOffset>
                </wp:positionV>
                <wp:extent cx="3276600" cy="3832860"/>
                <wp:effectExtent l="57150" t="38100" r="57150" b="72390"/>
                <wp:wrapNone/>
                <wp:docPr id="3" name="Rectangle 3"/>
                <wp:cNvGraphicFramePr/>
                <a:graphic xmlns:a="http://schemas.openxmlformats.org/drawingml/2006/main">
                  <a:graphicData uri="http://schemas.microsoft.com/office/word/2010/wordprocessingShape">
                    <wps:wsp>
                      <wps:cNvSpPr/>
                      <wps:spPr>
                        <a:xfrm>
                          <a:off x="0" y="0"/>
                          <a:ext cx="3276600" cy="3832860"/>
                        </a:xfrm>
                        <a:prstGeom prst="rect">
                          <a:avLst/>
                        </a:prstGeom>
                      </wps:spPr>
                      <wps:style>
                        <a:lnRef idx="0">
                          <a:schemeClr val="accent4"/>
                        </a:lnRef>
                        <a:fillRef idx="3">
                          <a:schemeClr val="accent4"/>
                        </a:fillRef>
                        <a:effectRef idx="3">
                          <a:schemeClr val="accent4"/>
                        </a:effectRef>
                        <a:fontRef idx="minor">
                          <a:schemeClr val="lt1"/>
                        </a:fontRef>
                      </wps:style>
                      <wps:txbx>
                        <w:txbxContent>
                          <w:p w:rsidR="00546CBB" w:rsidRPr="00546CBB" w:rsidRDefault="00546CBB" w:rsidP="00546CBB">
                            <w:pPr>
                              <w:pStyle w:val="Heading1"/>
                              <w:numPr>
                                <w:ilvl w:val="0"/>
                                <w:numId w:val="0"/>
                              </w:numPr>
                            </w:pPr>
                            <w:r w:rsidRPr="00546CBB">
                              <w:t xml:space="preserve">Planning </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ASG MEETINGS to go over the work, and support the plan</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Find a suitable resource/develop a resource that can work with both P7/S2</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Sharing the resource with the full team</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Timetabled delivery set up with all schools on board</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Baseline assessment of wellbeing wheel, staff and external agencies in the process.</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 xml:space="preserve">Using a range of evaluation techniques we will get everyone’s opinions. </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 xml:space="preserve">To produce a piece of work that can be shared with </w:t>
                            </w:r>
                            <w:r>
                              <w:rPr>
                                <w:color w:val="000000" w:themeColor="text1"/>
                                <w:sz w:val="20"/>
                              </w:rPr>
                              <w:t>the schools</w:t>
                            </w:r>
                            <w:r w:rsidRPr="00546CBB">
                              <w:rPr>
                                <w:color w:val="000000" w:themeColor="text1"/>
                                <w:sz w:val="20"/>
                              </w:rPr>
                              <w:t>, communicate</w:t>
                            </w:r>
                            <w:r>
                              <w:rPr>
                                <w:color w:val="000000" w:themeColor="text1"/>
                                <w:sz w:val="20"/>
                              </w:rPr>
                              <w:t>d</w:t>
                            </w:r>
                            <w:r w:rsidRPr="00546CBB">
                              <w:rPr>
                                <w:color w:val="000000" w:themeColor="text1"/>
                                <w:sz w:val="20"/>
                              </w:rPr>
                              <w:t xml:space="preserve"> with parents and </w:t>
                            </w:r>
                            <w:r>
                              <w:rPr>
                                <w:color w:val="000000" w:themeColor="text1"/>
                                <w:sz w:val="20"/>
                              </w:rPr>
                              <w:t>celebrate the project in the P7 Induction</w:t>
                            </w:r>
                            <w:r w:rsidRPr="00546CBB">
                              <w:rPr>
                                <w:color w:val="000000" w:themeColor="text1"/>
                                <w:sz w:val="20"/>
                              </w:rPr>
                              <w:t>.</w:t>
                            </w:r>
                          </w:p>
                          <w:p w:rsidR="00546CBB" w:rsidRPr="00546CBB" w:rsidRDefault="00546CBB" w:rsidP="00546CBB">
                            <w:pPr>
                              <w:pStyle w:val="ListParagraph"/>
                              <w:numPr>
                                <w:ilvl w:val="0"/>
                                <w:numId w:val="7"/>
                              </w:numPr>
                              <w:ind w:left="142" w:hanging="142"/>
                              <w:rPr>
                                <w:color w:val="000000" w:themeColor="text1"/>
                                <w:sz w:val="20"/>
                              </w:rPr>
                            </w:pPr>
                            <w:r>
                              <w:rPr>
                                <w:color w:val="000000" w:themeColor="text1"/>
                                <w:sz w:val="20"/>
                              </w:rPr>
                              <w:t>Include plan in the Newsletter</w:t>
                            </w:r>
                          </w:p>
                          <w:p w:rsidR="00546CBB" w:rsidRDefault="00546CBB" w:rsidP="00546CBB">
                            <w:pPr>
                              <w:pStyle w:val="ListParagraph"/>
                              <w:numPr>
                                <w:ilvl w:val="0"/>
                                <w:numId w:val="7"/>
                              </w:numPr>
                              <w:ind w:left="142" w:hanging="142"/>
                              <w:rPr>
                                <w:color w:val="000000" w:themeColor="text1"/>
                                <w:sz w:val="20"/>
                              </w:rPr>
                            </w:pPr>
                            <w:r>
                              <w:rPr>
                                <w:color w:val="000000" w:themeColor="text1"/>
                                <w:sz w:val="20"/>
                              </w:rPr>
                              <w:t>Using Chromebooks to record the work completed in their P7 Profiles/S3 profile.</w:t>
                            </w:r>
                          </w:p>
                          <w:p w:rsidR="00546CBB" w:rsidRPr="00546CBB" w:rsidRDefault="00546CBB" w:rsidP="00546CBB">
                            <w:pPr>
                              <w:pStyle w:val="ListParagraph"/>
                              <w:ind w:left="142"/>
                              <w:rPr>
                                <w:color w:val="000000" w:themeColor="text1"/>
                                <w:sz w:val="20"/>
                              </w:rPr>
                            </w:pPr>
                          </w:p>
                          <w:p w:rsidR="00546CBB" w:rsidRPr="00546CBB" w:rsidRDefault="00546CBB" w:rsidP="00546CBB">
                            <w:pPr>
                              <w:rPr>
                                <w:sz w:val="18"/>
                              </w:rPr>
                            </w:pPr>
                            <w:r w:rsidRPr="00546CBB">
                              <w:rPr>
                                <w:sz w:val="18"/>
                              </w:rPr>
                              <w:t>STANDARDS FOR HEADSHIP</w:t>
                            </w:r>
                          </w:p>
                          <w:p w:rsidR="00684CE0" w:rsidRPr="00546CBB" w:rsidRDefault="00546CBB" w:rsidP="00684CE0">
                            <w:pPr>
                              <w:rPr>
                                <w:sz w:val="18"/>
                              </w:rPr>
                            </w:pPr>
                            <w:r w:rsidRPr="00546CBB">
                              <w:rPr>
                                <w:sz w:val="18"/>
                              </w:rPr>
                              <w:t>4.1.4 Head Teachers collaborate with staff, learners, parents and the wider school community and networks in identifying, agreeing and implementing improvement priorities</w:t>
                            </w:r>
                          </w:p>
                          <w:p w:rsidR="00684CE0" w:rsidRPr="00546CBB" w:rsidRDefault="00684CE0" w:rsidP="00684CE0">
                            <w:pPr>
                              <w:rPr>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0F5A71" id="Rectangle 3" o:spid="_x0000_s1031" style="position:absolute;margin-left:228.25pt;margin-top:7.3pt;width:258pt;height:301.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" fillcolor="#ffc310 [3031]" stroked="f">
                <v:fill color2="#fcbd00 [3175]" rotate="t" colors="0 #ffc746;.5 #ffc600;1 #e5b600" focus="100%" type="gradient">
                  <o:fill v:ext="view" type="gradientUnscaled"/>
                </v:fill>
                <v:shadow on="t" color="black" opacity="41287f" offset="0,1.5pt"/>
                <v:textbox>
                  <w:txbxContent>
                    <w:p w:rsidR="00546CBB" w:rsidRPr="00546CBB" w:rsidRDefault="00546CBB" w:rsidP="00546CBB">
                      <w:pPr>
                        <w:pStyle w:val="Heading1"/>
                        <w:numPr>
                          <w:ilvl w:val="0"/>
                          <w:numId w:val="0"/>
                        </w:numPr>
                      </w:pPr>
                      <w:r w:rsidRPr="00546CBB">
                        <w:t xml:space="preserve">Planning </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ASG MEETINGS to go over the work, and support the plan</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Find a suitable resource/develop a resource that can work with both P7/S2</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Sharing the resource with the full team</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Timetabled delivery set up with all schools on board</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Baseline assessment of wellbeing wheel, staff and external agencies in the process.</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 xml:space="preserve">Using a range of evaluation techniques we will get everyone’s opinions. </w:t>
                      </w:r>
                    </w:p>
                    <w:p w:rsidR="00546CBB" w:rsidRPr="00546CBB" w:rsidRDefault="00546CBB" w:rsidP="00546CBB">
                      <w:pPr>
                        <w:pStyle w:val="ListParagraph"/>
                        <w:numPr>
                          <w:ilvl w:val="0"/>
                          <w:numId w:val="7"/>
                        </w:numPr>
                        <w:ind w:left="142" w:hanging="142"/>
                        <w:rPr>
                          <w:color w:val="000000" w:themeColor="text1"/>
                          <w:sz w:val="20"/>
                        </w:rPr>
                      </w:pPr>
                      <w:r w:rsidRPr="00546CBB">
                        <w:rPr>
                          <w:color w:val="000000" w:themeColor="text1"/>
                          <w:sz w:val="20"/>
                        </w:rPr>
                        <w:t xml:space="preserve">To produce a piece of work that can be shared with </w:t>
                      </w:r>
                      <w:r>
                        <w:rPr>
                          <w:color w:val="000000" w:themeColor="text1"/>
                          <w:sz w:val="20"/>
                        </w:rPr>
                        <w:t>the schools</w:t>
                      </w:r>
                      <w:r w:rsidRPr="00546CBB">
                        <w:rPr>
                          <w:color w:val="000000" w:themeColor="text1"/>
                          <w:sz w:val="20"/>
                        </w:rPr>
                        <w:t>, communicate</w:t>
                      </w:r>
                      <w:r>
                        <w:rPr>
                          <w:color w:val="000000" w:themeColor="text1"/>
                          <w:sz w:val="20"/>
                        </w:rPr>
                        <w:t>d</w:t>
                      </w:r>
                      <w:r w:rsidRPr="00546CBB">
                        <w:rPr>
                          <w:color w:val="000000" w:themeColor="text1"/>
                          <w:sz w:val="20"/>
                        </w:rPr>
                        <w:t xml:space="preserve"> with parents and </w:t>
                      </w:r>
                      <w:r>
                        <w:rPr>
                          <w:color w:val="000000" w:themeColor="text1"/>
                          <w:sz w:val="20"/>
                        </w:rPr>
                        <w:t>celebrate the project in the P7 Induction</w:t>
                      </w:r>
                      <w:r w:rsidRPr="00546CBB">
                        <w:rPr>
                          <w:color w:val="000000" w:themeColor="text1"/>
                          <w:sz w:val="20"/>
                        </w:rPr>
                        <w:t>.</w:t>
                      </w:r>
                    </w:p>
                    <w:p w:rsidR="00546CBB" w:rsidRPr="00546CBB" w:rsidRDefault="00546CBB" w:rsidP="00546CBB">
                      <w:pPr>
                        <w:pStyle w:val="ListParagraph"/>
                        <w:numPr>
                          <w:ilvl w:val="0"/>
                          <w:numId w:val="7"/>
                        </w:numPr>
                        <w:ind w:left="142" w:hanging="142"/>
                        <w:rPr>
                          <w:color w:val="000000" w:themeColor="text1"/>
                          <w:sz w:val="20"/>
                        </w:rPr>
                      </w:pPr>
                      <w:r>
                        <w:rPr>
                          <w:color w:val="000000" w:themeColor="text1"/>
                          <w:sz w:val="20"/>
                        </w:rPr>
                        <w:t>Include plan in the Newsletter</w:t>
                      </w:r>
                    </w:p>
                    <w:p w:rsidR="00546CBB" w:rsidRDefault="00546CBB" w:rsidP="00546CBB">
                      <w:pPr>
                        <w:pStyle w:val="ListParagraph"/>
                        <w:numPr>
                          <w:ilvl w:val="0"/>
                          <w:numId w:val="7"/>
                        </w:numPr>
                        <w:ind w:left="142" w:hanging="142"/>
                        <w:rPr>
                          <w:color w:val="000000" w:themeColor="text1"/>
                          <w:sz w:val="20"/>
                        </w:rPr>
                      </w:pPr>
                      <w:r>
                        <w:rPr>
                          <w:color w:val="000000" w:themeColor="text1"/>
                          <w:sz w:val="20"/>
                        </w:rPr>
                        <w:t>Using Chromebooks to record the work completed in their P7 Profiles/S3 profile.</w:t>
                      </w:r>
                    </w:p>
                    <w:p w:rsidR="00546CBB" w:rsidRPr="00546CBB" w:rsidRDefault="00546CBB" w:rsidP="00546CBB">
                      <w:pPr>
                        <w:pStyle w:val="ListParagraph"/>
                        <w:ind w:left="142"/>
                        <w:rPr>
                          <w:color w:val="000000" w:themeColor="text1"/>
                          <w:sz w:val="20"/>
                        </w:rPr>
                      </w:pPr>
                    </w:p>
                    <w:p w:rsidR="00546CBB" w:rsidRPr="00546CBB" w:rsidRDefault="00546CBB" w:rsidP="00546CBB">
                      <w:pPr>
                        <w:rPr>
                          <w:sz w:val="18"/>
                        </w:rPr>
                      </w:pPr>
                      <w:r w:rsidRPr="00546CBB">
                        <w:rPr>
                          <w:sz w:val="18"/>
                        </w:rPr>
                        <w:t>STANDARDS FOR HEADSHIP</w:t>
                      </w:r>
                    </w:p>
                    <w:p w:rsidR="00684CE0" w:rsidRPr="00546CBB" w:rsidRDefault="00546CBB" w:rsidP="00684CE0">
                      <w:pPr>
                        <w:rPr>
                          <w:sz w:val="18"/>
                        </w:rPr>
                      </w:pPr>
                      <w:r w:rsidRPr="00546CBB">
                        <w:rPr>
                          <w:sz w:val="18"/>
                        </w:rPr>
                        <w:t>4.1.4 Head Teachers collaborate with staff, learners, parents and the wider school community and networks in identifying, agreeing and implementing improvement priorities</w:t>
                      </w:r>
                    </w:p>
                    <w:p w:rsidR="00684CE0" w:rsidRPr="00546CBB" w:rsidRDefault="00684CE0" w:rsidP="00684CE0">
                      <w:pPr>
                        <w:rPr>
                          <w:sz w:val="18"/>
                        </w:rPr>
                      </w:pPr>
                    </w:p>
                  </w:txbxContent>
                </v:textbox>
                <w10:wrap anchorx="margin"/>
              </v:rect>
            </w:pict>
          </mc:Fallback>
        </mc:AlternateContent>
      </w:r>
    </w:p>
    <w:p w:rsidR="00994EF2" w:rsidRDefault="00994EF2" w:rsidP="00994EF2"/>
    <w:p w:rsidR="00027C27" w:rsidRPr="00994EF2" w:rsidRDefault="00546CBB" w:rsidP="00994EF2">
      <w:pPr>
        <w:jc w:val="center"/>
      </w:pPr>
      <w:r>
        <w:rPr>
          <w:noProof/>
          <w:lang w:eastAsia="en-GB"/>
        </w:rPr>
        <mc:AlternateContent>
          <mc:Choice Requires="wps">
            <w:drawing>
              <wp:anchor distT="0" distB="0" distL="114300" distR="114300" simplePos="0" relativeHeight="251661312" behindDoc="0" locked="0" layoutInCell="1" allowOverlap="1" wp14:anchorId="4140CAA2" wp14:editId="6DAA9233">
                <wp:simplePos x="0" y="0"/>
                <wp:positionH relativeFrom="margin">
                  <wp:posOffset>-495935</wp:posOffset>
                </wp:positionH>
                <wp:positionV relativeFrom="paragraph">
                  <wp:posOffset>3142914</wp:posOffset>
                </wp:positionV>
                <wp:extent cx="3171825" cy="616534"/>
                <wp:effectExtent l="57150" t="38100" r="66675" b="69850"/>
                <wp:wrapNone/>
                <wp:docPr id="2" name="Rectangle 2"/>
                <wp:cNvGraphicFramePr/>
                <a:graphic xmlns:a="http://schemas.openxmlformats.org/drawingml/2006/main">
                  <a:graphicData uri="http://schemas.microsoft.com/office/word/2010/wordprocessingShape">
                    <wps:wsp>
                      <wps:cNvSpPr/>
                      <wps:spPr>
                        <a:xfrm>
                          <a:off x="0" y="0"/>
                          <a:ext cx="3171825" cy="616534"/>
                        </a:xfrm>
                        <a:prstGeom prst="rect">
                          <a:avLst/>
                        </a:prstGeom>
                      </wps:spPr>
                      <wps:style>
                        <a:lnRef idx="0">
                          <a:schemeClr val="dk1"/>
                        </a:lnRef>
                        <a:fillRef idx="3">
                          <a:schemeClr val="dk1"/>
                        </a:fillRef>
                        <a:effectRef idx="3">
                          <a:schemeClr val="dk1"/>
                        </a:effectRef>
                        <a:fontRef idx="minor">
                          <a:schemeClr val="lt1"/>
                        </a:fontRef>
                      </wps:style>
                      <wps:txbx>
                        <w:txbxContent>
                          <w:p w:rsidR="00546CBB" w:rsidRDefault="00546CBB" w:rsidP="00684CE0">
                            <w:r>
                              <w:t xml:space="preserve">PARTNERS: PRIMARY ASG, </w:t>
                            </w:r>
                          </w:p>
                          <w:p w:rsidR="00684CE0" w:rsidRDefault="00546CBB" w:rsidP="00684CE0">
                            <w:proofErr w:type="spellStart"/>
                            <w:r>
                              <w:t>HighLIfe</w:t>
                            </w:r>
                            <w:proofErr w:type="spellEnd"/>
                            <w:r>
                              <w:t xml:space="preserve"> HIGHLAND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0CAA2" id="Rectangle 2" o:spid="_x0000_s1032" style="position:absolute;left:0;text-align:left;margin-left:-39.05pt;margin-top:247.45pt;width:249.75pt;height:48.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" fillcolor="#101010 [3024]" stroked="f">
                <v:fill color2="black [3168]" rotate="t" colors="0 #454545;.5 black;1 black" focus="100%" type="gradient">
                  <o:fill v:ext="view" type="gradientUnscaled"/>
                </v:fill>
                <v:shadow on="t" color="black" opacity="41287f" offset="0,1.5pt"/>
                <v:textbox>
                  <w:txbxContent>
                    <w:p w:rsidR="00546CBB" w:rsidRDefault="00546CBB" w:rsidP="00684CE0">
                      <w:r>
                        <w:t xml:space="preserve">PARTNERS: PRIMARY ASG, </w:t>
                      </w:r>
                    </w:p>
                    <w:p w:rsidR="00684CE0" w:rsidRDefault="00546CBB" w:rsidP="00684CE0">
                      <w:proofErr w:type="spellStart"/>
                      <w:r>
                        <w:t>HighLIfe</w:t>
                      </w:r>
                      <w:proofErr w:type="spellEnd"/>
                      <w:r>
                        <w:t xml:space="preserve"> HIGHLAND</w:t>
                      </w:r>
                    </w:p>
                  </w:txbxContent>
                </v:textbox>
                <w10:wrap anchorx="margin"/>
              </v:rect>
            </w:pict>
          </mc:Fallback>
        </mc:AlternateContent>
      </w:r>
      <w:r w:rsidR="00E248A3">
        <w:t>I</w:t>
      </w:r>
    </w:p>
    <w:sectPr w:rsidR="00027C27" w:rsidRPr="00994EF2" w:rsidSect="00202568">
      <w:pgSz w:w="16838" w:h="11906" w:orient="landscape"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3F5D2139"/>
    <w:multiLevelType w:val="hybridMultilevel"/>
    <w:tmpl w:val="84A2E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0"/>
  </w:num>
  <w:num w:numId="4">
    <w:abstractNumId w:val="0"/>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507"/>
    <w:rsid w:val="00027C27"/>
    <w:rsid w:val="000763D0"/>
    <w:rsid w:val="000C0CF4"/>
    <w:rsid w:val="001C7939"/>
    <w:rsid w:val="001F31B7"/>
    <w:rsid w:val="00202568"/>
    <w:rsid w:val="00281579"/>
    <w:rsid w:val="00306C61"/>
    <w:rsid w:val="0037582B"/>
    <w:rsid w:val="00385B36"/>
    <w:rsid w:val="00443033"/>
    <w:rsid w:val="004B72D9"/>
    <w:rsid w:val="00546CBB"/>
    <w:rsid w:val="0062752A"/>
    <w:rsid w:val="00684CE0"/>
    <w:rsid w:val="00857548"/>
    <w:rsid w:val="008D0601"/>
    <w:rsid w:val="00994EF2"/>
    <w:rsid w:val="009B7615"/>
    <w:rsid w:val="00B51BDC"/>
    <w:rsid w:val="00B561C0"/>
    <w:rsid w:val="00B773CE"/>
    <w:rsid w:val="00BA1507"/>
    <w:rsid w:val="00C91823"/>
    <w:rsid w:val="00D008AB"/>
    <w:rsid w:val="00E15D82"/>
    <w:rsid w:val="00E248A3"/>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2BEA1C-B40C-4B55-83BD-7CE439C3D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3CE"/>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paragraph" w:styleId="BalloonText">
    <w:name w:val="Balloon Text"/>
    <w:basedOn w:val="Normal"/>
    <w:link w:val="BalloonTextChar"/>
    <w:uiPriority w:val="99"/>
    <w:semiHidden/>
    <w:unhideWhenUsed/>
    <w:rsid w:val="00546CBB"/>
    <w:rPr>
      <w:rFonts w:ascii="Tahoma" w:hAnsi="Tahoma" w:cs="Tahoma"/>
      <w:sz w:val="16"/>
      <w:szCs w:val="16"/>
    </w:rPr>
  </w:style>
  <w:style w:type="character" w:customStyle="1" w:styleId="BalloonTextChar">
    <w:name w:val="Balloon Text Char"/>
    <w:basedOn w:val="DefaultParagraphFont"/>
    <w:link w:val="BalloonText"/>
    <w:uiPriority w:val="99"/>
    <w:semiHidden/>
    <w:rsid w:val="00546CBB"/>
    <w:rPr>
      <w:rFonts w:ascii="Tahoma" w:hAnsi="Tahoma" w:cs="Tahoma"/>
      <w:sz w:val="16"/>
      <w:szCs w:val="16"/>
    </w:rPr>
  </w:style>
  <w:style w:type="paragraph" w:styleId="NormalWeb">
    <w:name w:val="Normal (Web)"/>
    <w:basedOn w:val="Normal"/>
    <w:uiPriority w:val="99"/>
    <w:semiHidden/>
    <w:unhideWhenUsed/>
    <w:rsid w:val="00546CBB"/>
    <w:pPr>
      <w:spacing w:before="100" w:beforeAutospacing="1" w:after="100" w:afterAutospacing="1"/>
    </w:pPr>
    <w:rPr>
      <w:rFonts w:ascii="Times New Roman" w:hAnsi="Times New Roman"/>
      <w:szCs w:val="24"/>
      <w:lang w:eastAsia="en-GB"/>
    </w:rPr>
  </w:style>
  <w:style w:type="paragraph" w:styleId="ListParagraph">
    <w:name w:val="List Paragraph"/>
    <w:basedOn w:val="Normal"/>
    <w:uiPriority w:val="34"/>
    <w:qFormat/>
    <w:rsid w:val="00546C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2389">
      <w:bodyDiv w:val="1"/>
      <w:marLeft w:val="0"/>
      <w:marRight w:val="0"/>
      <w:marTop w:val="0"/>
      <w:marBottom w:val="0"/>
      <w:divBdr>
        <w:top w:val="none" w:sz="0" w:space="0" w:color="auto"/>
        <w:left w:val="none" w:sz="0" w:space="0" w:color="auto"/>
        <w:bottom w:val="none" w:sz="0" w:space="0" w:color="auto"/>
        <w:right w:val="none" w:sz="0" w:space="0" w:color="auto"/>
      </w:divBdr>
    </w:div>
    <w:div w:id="833186543">
      <w:bodyDiv w:val="1"/>
      <w:marLeft w:val="0"/>
      <w:marRight w:val="0"/>
      <w:marTop w:val="0"/>
      <w:marBottom w:val="0"/>
      <w:divBdr>
        <w:top w:val="none" w:sz="0" w:space="0" w:color="auto"/>
        <w:left w:val="none" w:sz="0" w:space="0" w:color="auto"/>
        <w:bottom w:val="none" w:sz="0" w:space="0" w:color="auto"/>
        <w:right w:val="none" w:sz="0" w:space="0" w:color="auto"/>
      </w:divBdr>
    </w:div>
    <w:div w:id="169916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Words>
  <Characters>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MacLennan A (Alison)</dc:creator>
  <cp:lastModifiedBy>MacLennan A (Alison)</cp:lastModifiedBy>
  <cp:revision>1</cp:revision>
  <dcterms:created xsi:type="dcterms:W3CDTF">2019-04-01T11:56:00Z</dcterms:created>
  <dcterms:modified xsi:type="dcterms:W3CDTF">2019-04-01T11:56:00Z</dcterms:modified>
</cp:coreProperties>
</file>